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E645E0" w14:textId="77777777" w:rsidR="00DF7048" w:rsidRDefault="00003431">
      <w:pPr>
        <w:spacing w:before="1600"/>
        <w:jc w:val="center"/>
      </w:pPr>
      <w:r>
        <w:rPr>
          <w:b/>
          <w:bCs/>
          <w:color w:val="C89B3C"/>
          <w:sz w:val="40"/>
          <w:szCs w:val="40"/>
        </w:rPr>
        <w:t>EWINGS</w:t>
      </w:r>
      <w:r>
        <w:rPr>
          <w:b/>
          <w:bCs/>
          <w:color w:val="0A1628"/>
          <w:sz w:val="40"/>
          <w:szCs w:val="40"/>
        </w:rPr>
        <w:t xml:space="preserve"> CONSULTANCY SERVICES</w:t>
      </w:r>
    </w:p>
    <w:p w14:paraId="62E645E1" w14:textId="77777777" w:rsidR="00DF7048" w:rsidRDefault="00003431">
      <w:pPr>
        <w:spacing w:before="200" w:after="100"/>
        <w:jc w:val="center"/>
      </w:pPr>
      <w:r>
        <w:rPr>
          <w:i/>
          <w:iCs/>
          <w:color w:val="4A5568"/>
          <w:sz w:val="20"/>
          <w:szCs w:val="20"/>
        </w:rPr>
        <w:t>Independent. Expert. Trusted.</w:t>
      </w:r>
    </w:p>
    <w:p w14:paraId="62E645E2" w14:textId="77777777" w:rsidR="00DF7048" w:rsidRDefault="00DF7048">
      <w:pPr>
        <w:pBdr>
          <w:bottom w:val="single" w:sz="6" w:space="8" w:color="C89B3C"/>
        </w:pBdr>
        <w:spacing w:after="600"/>
      </w:pPr>
    </w:p>
    <w:p w14:paraId="62E645E3" w14:textId="77777777" w:rsidR="00DF7048" w:rsidRDefault="00003431">
      <w:pPr>
        <w:spacing w:before="1200" w:after="200"/>
        <w:jc w:val="center"/>
      </w:pPr>
      <w:r>
        <w:rPr>
          <w:b/>
          <w:bCs/>
          <w:color w:val="0A1628"/>
          <w:sz w:val="40"/>
          <w:szCs w:val="40"/>
        </w:rPr>
        <w:t>After-Action Review</w:t>
      </w:r>
    </w:p>
    <w:p w14:paraId="62E645E4" w14:textId="77777777" w:rsidR="00DF7048" w:rsidRDefault="00003431">
      <w:pPr>
        <w:spacing w:after="200"/>
        <w:jc w:val="center"/>
      </w:pPr>
      <w:r>
        <w:rPr>
          <w:b/>
          <w:bCs/>
          <w:color w:val="0A1628"/>
          <w:sz w:val="40"/>
          <w:szCs w:val="40"/>
        </w:rPr>
        <w:t>&amp; Post-Incident Debrief Template</w:t>
      </w:r>
    </w:p>
    <w:p w14:paraId="62E645E5" w14:textId="77777777" w:rsidR="00DF7048" w:rsidRDefault="00003431">
      <w:pPr>
        <w:spacing w:before="400" w:after="800"/>
        <w:jc w:val="center"/>
      </w:pPr>
      <w:r>
        <w:rPr>
          <w:b/>
          <w:bCs/>
          <w:color w:val="C89B3C"/>
          <w:sz w:val="28"/>
          <w:szCs w:val="28"/>
        </w:rPr>
        <w:t>A Findings-to-Action Methodology</w:t>
      </w:r>
    </w:p>
    <w:p w14:paraId="62E645E6" w14:textId="77777777" w:rsidR="00DF7048" w:rsidRDefault="00003431">
      <w:pPr>
        <w:spacing w:after="200"/>
        <w:jc w:val="center"/>
      </w:pPr>
      <w:r>
        <w:rPr>
          <w:i/>
          <w:iCs/>
          <w:color w:val="4A5568"/>
        </w:rPr>
        <w:t>A structured framework to reconstruct what happened, establish why, and turn findings into tracked action — matched to your actual event or incident, not a generic lessons-learned form.</w:t>
      </w:r>
    </w:p>
    <w:p w14:paraId="62E645E7" w14:textId="77777777" w:rsidR="00DF7048" w:rsidRDefault="00003431">
      <w:r>
        <w:br w:type="page"/>
      </w:r>
    </w:p>
    <w:p w14:paraId="62E645E8" w14:textId="77777777" w:rsidR="00DF7048" w:rsidRDefault="00003431">
      <w:pPr>
        <w:pStyle w:val="Heading1"/>
        <w:spacing w:before="360" w:after="160"/>
      </w:pPr>
      <w:r>
        <w:rPr>
          <w:color w:val="0A1628"/>
        </w:rPr>
        <w:lastRenderedPageBreak/>
        <w:t>How to Use This Framework</w:t>
      </w:r>
    </w:p>
    <w:p w14:paraId="62E645E9" w14:textId="77777777" w:rsidR="00DF7048" w:rsidRDefault="00003431">
      <w:pPr>
        <w:spacing w:after="160"/>
      </w:pPr>
      <w:r>
        <w:t>This document is a structured framework, not a substitute for a qualified incident investigation or your insurer's and regulator's reporting requirements. It is designed to help you understand and apply established after-action review methodology to your own event or incident, so your findings are evidenced and your actions are tracked to close-out rather than left as a list of good intentions.</w:t>
      </w:r>
    </w:p>
    <w:p w14:paraId="62E645EA" w14:textId="77777777" w:rsidR="00DF7048" w:rsidRDefault="00003431">
      <w:pPr>
        <w:spacing w:after="160"/>
      </w:pPr>
      <w:r>
        <w:t>Each section sets out what to review and why it matters, with example structures you can adapt to your event, organisation, and jurisdiction. Regulatory reporting duties, insurer notification requirements, and legal privilege considerations vary significantly — this framework should be used alongside, not instead of, legal advice specific to your organisation.</w:t>
      </w:r>
    </w:p>
    <w:p w14:paraId="62E645EB" w14:textId="77777777" w:rsidR="00DF7048" w:rsidRDefault="00003431">
      <w:pPr>
        <w:spacing w:after="160"/>
      </w:pPr>
      <w:r>
        <w:t>Need this facilitated independently, or defended to a board, insurer, or regulator for your specific incident rather than run internally? Contact us to discuss on-site or online consultancy support.</w:t>
      </w:r>
    </w:p>
    <w:p w14:paraId="62E645EC" w14:textId="77777777" w:rsidR="00DF7048" w:rsidRDefault="00003431">
      <w:pPr>
        <w:pStyle w:val="Heading1"/>
        <w:spacing w:before="360" w:after="160"/>
      </w:pPr>
      <w:r>
        <w:rPr>
          <w:color w:val="0A1628"/>
        </w:rPr>
        <w:t>Section 1 — Purpose &amp; Scope</w:t>
      </w:r>
    </w:p>
    <w:p w14:paraId="62E645ED" w14:textId="77777777" w:rsidR="00DF7048" w:rsidRDefault="00003431">
      <w:pPr>
        <w:spacing w:after="160"/>
      </w:pPr>
      <w:r>
        <w:t>An after-action review is not a single meeting where everyone shares an opinion — it's a structured reconstruction of what was planned, what actually happened, and why the two diverged. Define what this review covers before you start.</w:t>
      </w:r>
    </w:p>
    <w:p w14:paraId="62E645EE" w14:textId="77777777" w:rsidR="00DF7048" w:rsidRDefault="00003431">
      <w:pPr>
        <w:pStyle w:val="Heading2"/>
        <w:spacing w:before="200" w:after="100"/>
      </w:pPr>
      <w:r>
        <w:rPr>
          <w:color w:val="4A5568"/>
        </w:rPr>
        <w:t>Include:</w:t>
      </w:r>
    </w:p>
    <w:p w14:paraId="62E645EF" w14:textId="77777777" w:rsidR="00DF7048" w:rsidRDefault="00003431">
      <w:pPr>
        <w:pStyle w:val="ListParagraph"/>
        <w:numPr>
          <w:ilvl w:val="0"/>
          <w:numId w:val="2"/>
        </w:numPr>
        <w:spacing w:after="100"/>
      </w:pPr>
      <w:r>
        <w:t>The event or incident being reviewed, and the specific time window in scope</w:t>
      </w:r>
    </w:p>
    <w:p w14:paraId="62E645F0" w14:textId="77777777" w:rsidR="00DF7048" w:rsidRDefault="00003431">
      <w:pPr>
        <w:pStyle w:val="ListParagraph"/>
        <w:numPr>
          <w:ilvl w:val="0"/>
          <w:numId w:val="2"/>
        </w:numPr>
        <w:spacing w:after="100"/>
      </w:pPr>
      <w:r>
        <w:t>Whether this is a routine post-event review or a review triggered by a specific incident, near-miss, or complaint</w:t>
      </w:r>
    </w:p>
    <w:p w14:paraId="62E645F1" w14:textId="77777777" w:rsidR="00DF7048" w:rsidRDefault="00003431">
      <w:pPr>
        <w:pStyle w:val="ListParagraph"/>
        <w:numPr>
          <w:ilvl w:val="0"/>
          <w:numId w:val="2"/>
        </w:numPr>
        <w:spacing w:after="100"/>
      </w:pPr>
      <w:r>
        <w:t>The audience for the final report — internal only, or board, insurer, and regulator</w:t>
      </w:r>
    </w:p>
    <w:p w14:paraId="62E645F2" w14:textId="77777777" w:rsidR="00DF7048" w:rsidRDefault="00003431">
      <w:pPr>
        <w:pStyle w:val="ListParagraph"/>
        <w:numPr>
          <w:ilvl w:val="0"/>
          <w:numId w:val="2"/>
        </w:numPr>
        <w:spacing w:after="100"/>
      </w:pPr>
      <w:r>
        <w:t>Any legal privilege considerations that determine how the review should be commissioned and documented</w:t>
      </w:r>
    </w:p>
    <w:p w14:paraId="62E645F3" w14:textId="77777777" w:rsidR="00DF7048" w:rsidRDefault="00003431">
      <w:pPr>
        <w:pStyle w:val="Heading1"/>
        <w:spacing w:before="360" w:after="160"/>
      </w:pPr>
      <w:r>
        <w:rPr>
          <w:color w:val="0A1628"/>
        </w:rPr>
        <w:t>Section 2 — AAR Team &amp; Facilitation</w:t>
      </w:r>
    </w:p>
    <w:p w14:paraId="62E645F4" w14:textId="77777777" w:rsidR="00DF7048" w:rsidRDefault="00003431">
      <w:pPr>
        <w:spacing w:after="160"/>
      </w:pPr>
      <w:r>
        <w:t>Who runs the review, and how independent they are from the operational decisions being examined, shapes whether the findings are candid or defensive.</w:t>
      </w:r>
    </w:p>
    <w:p w14:paraId="62E645F5" w14:textId="77777777" w:rsidR="00DF7048" w:rsidRDefault="00003431">
      <w:pPr>
        <w:pStyle w:val="Heading2"/>
        <w:spacing w:before="200" w:after="100"/>
      </w:pPr>
      <w:r>
        <w:rPr>
          <w:color w:val="4A5568"/>
        </w:rPr>
        <w:t>Assess:</w:t>
      </w:r>
    </w:p>
    <w:p w14:paraId="62E645F6" w14:textId="77777777" w:rsidR="00DF7048" w:rsidRDefault="00003431">
      <w:pPr>
        <w:pStyle w:val="ListParagraph"/>
        <w:numPr>
          <w:ilvl w:val="0"/>
          <w:numId w:val="2"/>
        </w:numPr>
        <w:spacing w:after="100"/>
      </w:pPr>
      <w:r>
        <w:t>Facilitator independence — internal lead vs. external facilitator, particularly for serious incidents</w:t>
      </w:r>
    </w:p>
    <w:p w14:paraId="62E645F7" w14:textId="77777777" w:rsidR="00DF7048" w:rsidRDefault="00003431">
      <w:pPr>
        <w:pStyle w:val="ListParagraph"/>
        <w:numPr>
          <w:ilvl w:val="0"/>
          <w:numId w:val="2"/>
        </w:numPr>
        <w:spacing w:after="100"/>
      </w:pPr>
      <w:r>
        <w:t>Participants required — operational leads, agency partners, and anyone directly involved in the incident</w:t>
      </w:r>
    </w:p>
    <w:p w14:paraId="62E645F8" w14:textId="77777777" w:rsidR="00DF7048" w:rsidRDefault="00003431">
      <w:pPr>
        <w:pStyle w:val="ListParagraph"/>
        <w:numPr>
          <w:ilvl w:val="0"/>
          <w:numId w:val="2"/>
        </w:numPr>
        <w:spacing w:after="100"/>
      </w:pPr>
      <w:r>
        <w:t>Psychological safety of the process — a no-blame structure that participants are told about in advance and that is actually honoured</w:t>
      </w:r>
    </w:p>
    <w:p w14:paraId="62E645F9" w14:textId="77777777" w:rsidR="00DF7048" w:rsidRDefault="00003431">
      <w:pPr>
        <w:pStyle w:val="ListParagraph"/>
        <w:numPr>
          <w:ilvl w:val="0"/>
          <w:numId w:val="2"/>
        </w:numPr>
        <w:spacing w:after="100"/>
      </w:pPr>
      <w:r>
        <w:t>Timing of the review — held close enough to the event that recall is accurate, far enough that immediate emotion has settled</w:t>
      </w:r>
    </w:p>
    <w:p w14:paraId="06B0CE8E" w14:textId="77777777" w:rsidR="00D57FF3" w:rsidRDefault="00D57FF3">
      <w:pPr>
        <w:rPr>
          <w:b/>
          <w:bCs/>
          <w:color w:val="0A1628"/>
          <w:sz w:val="32"/>
          <w:szCs w:val="32"/>
        </w:rPr>
      </w:pPr>
      <w:r>
        <w:rPr>
          <w:color w:val="0A1628"/>
        </w:rPr>
        <w:br w:type="page"/>
      </w:r>
    </w:p>
    <w:p w14:paraId="62E645FA" w14:textId="785F9A56" w:rsidR="00DF7048" w:rsidRDefault="00003431">
      <w:pPr>
        <w:pStyle w:val="Heading1"/>
        <w:spacing w:before="360" w:after="160"/>
      </w:pPr>
      <w:r>
        <w:rPr>
          <w:color w:val="0A1628"/>
        </w:rPr>
        <w:lastRenderedPageBreak/>
        <w:t>Section 3 — Data Collection Methodology</w:t>
      </w:r>
    </w:p>
    <w:p w14:paraId="62E645FB" w14:textId="77777777" w:rsidR="00DF7048" w:rsidRDefault="00003431">
      <w:pPr>
        <w:spacing w:after="160"/>
      </w:pPr>
      <w:r>
        <w:t>The most widely used approach is triangulation: no single source is treated as the full picture, and findings are only confirmed where multiple sources agree. This produces a defensible reconstruction rather than one person's account of events.</w:t>
      </w:r>
    </w:p>
    <w:p w14:paraId="62E645FC" w14:textId="77777777" w:rsidR="00DF7048" w:rsidRDefault="00003431">
      <w:pPr>
        <w:pStyle w:val="Heading2"/>
        <w:spacing w:before="200" w:after="100"/>
      </w:pPr>
      <w:r>
        <w:rPr>
          <w:color w:val="4A5568"/>
        </w:rPr>
        <w:t>Example Sources — adapt to what was actually available for your event: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29"/>
        <w:gridCol w:w="3898"/>
        <w:gridCol w:w="3119"/>
      </w:tblGrid>
      <w:tr w:rsidR="00DF7048" w14:paraId="62E64600" w14:textId="77777777">
        <w:tblPrEx>
          <w:tblCellMar>
            <w:top w:w="0" w:type="dxa"/>
            <w:bottom w:w="0" w:type="dxa"/>
          </w:tblCellMar>
        </w:tblPrEx>
        <w:trPr>
          <w:tblHeader/>
        </w:trPr>
        <w:tc>
          <w:tcPr>
            <w:tcW w:w="2729" w:type="dxa"/>
            <w:shd w:val="clear" w:color="auto" w:fill="0A1628"/>
            <w:tcMar>
              <w:top w:w="80" w:type="dxa"/>
              <w:left w:w="100" w:type="dxa"/>
              <w:bottom w:w="80" w:type="dxa"/>
              <w:right w:w="100" w:type="dxa"/>
            </w:tcMar>
            <w:vAlign w:val="center"/>
          </w:tcPr>
          <w:p w14:paraId="62E645FD" w14:textId="77777777" w:rsidR="00DF7048" w:rsidRDefault="00003431">
            <w:r>
              <w:rPr>
                <w:b/>
                <w:bCs/>
                <w:color w:val="FFFFFF"/>
                <w:sz w:val="19"/>
                <w:szCs w:val="19"/>
              </w:rPr>
              <w:t>Source</w:t>
            </w:r>
          </w:p>
        </w:tc>
        <w:tc>
          <w:tcPr>
            <w:tcW w:w="3898" w:type="dxa"/>
            <w:shd w:val="clear" w:color="auto" w:fill="0A1628"/>
            <w:tcMar>
              <w:top w:w="80" w:type="dxa"/>
              <w:left w:w="100" w:type="dxa"/>
              <w:bottom w:w="80" w:type="dxa"/>
              <w:right w:w="100" w:type="dxa"/>
            </w:tcMar>
            <w:vAlign w:val="center"/>
          </w:tcPr>
          <w:p w14:paraId="62E645FE" w14:textId="77777777" w:rsidR="00DF7048" w:rsidRDefault="00003431">
            <w:r>
              <w:rPr>
                <w:b/>
                <w:bCs/>
                <w:color w:val="FFFFFF"/>
                <w:sz w:val="19"/>
                <w:szCs w:val="19"/>
              </w:rPr>
              <w:t>What It Captures</w:t>
            </w:r>
          </w:p>
        </w:tc>
        <w:tc>
          <w:tcPr>
            <w:tcW w:w="3119" w:type="dxa"/>
            <w:shd w:val="clear" w:color="auto" w:fill="0A1628"/>
            <w:tcMar>
              <w:top w:w="80" w:type="dxa"/>
              <w:left w:w="100" w:type="dxa"/>
              <w:bottom w:w="80" w:type="dxa"/>
              <w:right w:w="100" w:type="dxa"/>
            </w:tcMar>
            <w:vAlign w:val="center"/>
          </w:tcPr>
          <w:p w14:paraId="62E645FF" w14:textId="77777777" w:rsidR="00DF7048" w:rsidRDefault="00003431">
            <w:r>
              <w:rPr>
                <w:b/>
                <w:bCs/>
                <w:color w:val="FFFFFF"/>
                <w:sz w:val="19"/>
                <w:szCs w:val="19"/>
              </w:rPr>
              <w:t>Reliability Note</w:t>
            </w:r>
          </w:p>
        </w:tc>
      </w:tr>
      <w:tr w:rsidR="00DF7048" w14:paraId="62E64604" w14:textId="77777777">
        <w:tblPrEx>
          <w:tblCellMar>
            <w:top w:w="0" w:type="dxa"/>
            <w:bottom w:w="0" w:type="dxa"/>
          </w:tblCellMar>
        </w:tblPrEx>
        <w:tc>
          <w:tcPr>
            <w:tcW w:w="2729" w:type="dxa"/>
            <w:tcMar>
              <w:top w:w="80" w:type="dxa"/>
              <w:left w:w="100" w:type="dxa"/>
              <w:bottom w:w="80" w:type="dxa"/>
              <w:right w:w="100" w:type="dxa"/>
            </w:tcMar>
            <w:vAlign w:val="center"/>
          </w:tcPr>
          <w:p w14:paraId="62E64601" w14:textId="77777777" w:rsidR="00DF7048" w:rsidRDefault="00003431">
            <w:r>
              <w:rPr>
                <w:color w:val="000000"/>
                <w:sz w:val="19"/>
                <w:szCs w:val="19"/>
              </w:rPr>
              <w:t>Radio/incident log</w:t>
            </w:r>
          </w:p>
        </w:tc>
        <w:tc>
          <w:tcPr>
            <w:tcW w:w="3898" w:type="dxa"/>
            <w:tcMar>
              <w:top w:w="80" w:type="dxa"/>
              <w:left w:w="100" w:type="dxa"/>
              <w:bottom w:w="80" w:type="dxa"/>
              <w:right w:w="100" w:type="dxa"/>
            </w:tcMar>
            <w:vAlign w:val="center"/>
          </w:tcPr>
          <w:p w14:paraId="62E64602" w14:textId="77777777" w:rsidR="00DF7048" w:rsidRDefault="00003431">
            <w:r>
              <w:rPr>
                <w:color w:val="000000"/>
                <w:sz w:val="19"/>
                <w:szCs w:val="19"/>
              </w:rPr>
              <w:t>Real-time decisions and timings as they were made</w:t>
            </w:r>
          </w:p>
        </w:tc>
        <w:tc>
          <w:tcPr>
            <w:tcW w:w="3119" w:type="dxa"/>
            <w:tcMar>
              <w:top w:w="80" w:type="dxa"/>
              <w:left w:w="100" w:type="dxa"/>
              <w:bottom w:w="80" w:type="dxa"/>
              <w:right w:w="100" w:type="dxa"/>
            </w:tcMar>
            <w:vAlign w:val="center"/>
          </w:tcPr>
          <w:p w14:paraId="62E64603" w14:textId="77777777" w:rsidR="00DF7048" w:rsidRDefault="00003431">
            <w:r>
              <w:rPr>
                <w:color w:val="000000"/>
                <w:sz w:val="19"/>
                <w:szCs w:val="19"/>
              </w:rPr>
              <w:t>High — but only as good as logging discipline on the day</w:t>
            </w:r>
          </w:p>
        </w:tc>
      </w:tr>
      <w:tr w:rsidR="00DF7048" w14:paraId="62E64608" w14:textId="77777777">
        <w:tblPrEx>
          <w:tblCellMar>
            <w:top w:w="0" w:type="dxa"/>
            <w:bottom w:w="0" w:type="dxa"/>
          </w:tblCellMar>
        </w:tblPrEx>
        <w:tc>
          <w:tcPr>
            <w:tcW w:w="2729" w:type="dxa"/>
            <w:tcMar>
              <w:top w:w="80" w:type="dxa"/>
              <w:left w:w="100" w:type="dxa"/>
              <w:bottom w:w="80" w:type="dxa"/>
              <w:right w:w="100" w:type="dxa"/>
            </w:tcMar>
            <w:vAlign w:val="center"/>
          </w:tcPr>
          <w:p w14:paraId="62E64605" w14:textId="77777777" w:rsidR="00DF7048" w:rsidRDefault="00003431">
            <w:r>
              <w:rPr>
                <w:color w:val="000000"/>
                <w:sz w:val="19"/>
                <w:szCs w:val="19"/>
              </w:rPr>
              <w:t>CCTV/photographic record</w:t>
            </w:r>
          </w:p>
        </w:tc>
        <w:tc>
          <w:tcPr>
            <w:tcW w:w="3898" w:type="dxa"/>
            <w:tcMar>
              <w:top w:w="80" w:type="dxa"/>
              <w:left w:w="100" w:type="dxa"/>
              <w:bottom w:w="80" w:type="dxa"/>
              <w:right w:w="100" w:type="dxa"/>
            </w:tcMar>
            <w:vAlign w:val="center"/>
          </w:tcPr>
          <w:p w14:paraId="62E64606" w14:textId="77777777" w:rsidR="00DF7048" w:rsidRDefault="00003431">
            <w:r>
              <w:rPr>
                <w:color w:val="000000"/>
                <w:sz w:val="19"/>
                <w:szCs w:val="19"/>
              </w:rPr>
              <w:t>Crowd conditions, movement, and physical evidence</w:t>
            </w:r>
          </w:p>
        </w:tc>
        <w:tc>
          <w:tcPr>
            <w:tcW w:w="3119" w:type="dxa"/>
            <w:tcMar>
              <w:top w:w="80" w:type="dxa"/>
              <w:left w:w="100" w:type="dxa"/>
              <w:bottom w:w="80" w:type="dxa"/>
              <w:right w:w="100" w:type="dxa"/>
            </w:tcMar>
            <w:vAlign w:val="center"/>
          </w:tcPr>
          <w:p w14:paraId="62E64607" w14:textId="77777777" w:rsidR="00DF7048" w:rsidRDefault="00003431">
            <w:r>
              <w:rPr>
                <w:color w:val="000000"/>
                <w:sz w:val="19"/>
                <w:szCs w:val="19"/>
              </w:rPr>
              <w:t>High for what it covers; gaps at uncovered locations</w:t>
            </w:r>
          </w:p>
        </w:tc>
      </w:tr>
      <w:tr w:rsidR="00DF7048" w14:paraId="62E6460C" w14:textId="77777777">
        <w:tblPrEx>
          <w:tblCellMar>
            <w:top w:w="0" w:type="dxa"/>
            <w:bottom w:w="0" w:type="dxa"/>
          </w:tblCellMar>
        </w:tblPrEx>
        <w:tc>
          <w:tcPr>
            <w:tcW w:w="2729" w:type="dxa"/>
            <w:tcMar>
              <w:top w:w="80" w:type="dxa"/>
              <w:left w:w="100" w:type="dxa"/>
              <w:bottom w:w="80" w:type="dxa"/>
              <w:right w:w="100" w:type="dxa"/>
            </w:tcMar>
            <w:vAlign w:val="center"/>
          </w:tcPr>
          <w:p w14:paraId="62E64609" w14:textId="77777777" w:rsidR="00DF7048" w:rsidRDefault="00003431">
            <w:r>
              <w:rPr>
                <w:color w:val="000000"/>
                <w:sz w:val="19"/>
                <w:szCs w:val="19"/>
              </w:rPr>
              <w:t>Participant interviews</w:t>
            </w:r>
          </w:p>
        </w:tc>
        <w:tc>
          <w:tcPr>
            <w:tcW w:w="3898" w:type="dxa"/>
            <w:tcMar>
              <w:top w:w="80" w:type="dxa"/>
              <w:left w:w="100" w:type="dxa"/>
              <w:bottom w:w="80" w:type="dxa"/>
              <w:right w:w="100" w:type="dxa"/>
            </w:tcMar>
            <w:vAlign w:val="center"/>
          </w:tcPr>
          <w:p w14:paraId="62E6460A" w14:textId="77777777" w:rsidR="00DF7048" w:rsidRDefault="00003431">
            <w:r>
              <w:rPr>
                <w:color w:val="000000"/>
                <w:sz w:val="19"/>
                <w:szCs w:val="19"/>
              </w:rPr>
              <w:t>Decision rationale and situational awareness at the time</w:t>
            </w:r>
          </w:p>
        </w:tc>
        <w:tc>
          <w:tcPr>
            <w:tcW w:w="3119" w:type="dxa"/>
            <w:tcMar>
              <w:top w:w="80" w:type="dxa"/>
              <w:left w:w="100" w:type="dxa"/>
              <w:bottom w:w="80" w:type="dxa"/>
              <w:right w:w="100" w:type="dxa"/>
            </w:tcMar>
            <w:vAlign w:val="center"/>
          </w:tcPr>
          <w:p w14:paraId="62E6460B" w14:textId="77777777" w:rsidR="00DF7048" w:rsidRDefault="00003431">
            <w:r>
              <w:rPr>
                <w:color w:val="000000"/>
                <w:sz w:val="19"/>
                <w:szCs w:val="19"/>
              </w:rPr>
              <w:t>Variable — affected by recall and hindsight bias</w:t>
            </w:r>
          </w:p>
        </w:tc>
      </w:tr>
      <w:tr w:rsidR="00DF7048" w14:paraId="62E64610" w14:textId="77777777">
        <w:tblPrEx>
          <w:tblCellMar>
            <w:top w:w="0" w:type="dxa"/>
            <w:bottom w:w="0" w:type="dxa"/>
          </w:tblCellMar>
        </w:tblPrEx>
        <w:tc>
          <w:tcPr>
            <w:tcW w:w="2729" w:type="dxa"/>
            <w:tcMar>
              <w:top w:w="80" w:type="dxa"/>
              <w:left w:w="100" w:type="dxa"/>
              <w:bottom w:w="80" w:type="dxa"/>
              <w:right w:w="100" w:type="dxa"/>
            </w:tcMar>
            <w:vAlign w:val="center"/>
          </w:tcPr>
          <w:p w14:paraId="62E6460D" w14:textId="77777777" w:rsidR="00DF7048" w:rsidRDefault="00003431">
            <w:r>
              <w:rPr>
                <w:color w:val="000000"/>
                <w:sz w:val="19"/>
                <w:szCs w:val="19"/>
              </w:rPr>
              <w:t>Written incident reports</w:t>
            </w:r>
          </w:p>
        </w:tc>
        <w:tc>
          <w:tcPr>
            <w:tcW w:w="3898" w:type="dxa"/>
            <w:tcMar>
              <w:top w:w="80" w:type="dxa"/>
              <w:left w:w="100" w:type="dxa"/>
              <w:bottom w:w="80" w:type="dxa"/>
              <w:right w:w="100" w:type="dxa"/>
            </w:tcMar>
            <w:vAlign w:val="center"/>
          </w:tcPr>
          <w:p w14:paraId="62E6460E" w14:textId="77777777" w:rsidR="00DF7048" w:rsidRDefault="00003431">
            <w:r>
              <w:rPr>
                <w:color w:val="000000"/>
                <w:sz w:val="19"/>
                <w:szCs w:val="19"/>
              </w:rPr>
              <w:t>First-hand account close to the event</w:t>
            </w:r>
          </w:p>
        </w:tc>
        <w:tc>
          <w:tcPr>
            <w:tcW w:w="3119" w:type="dxa"/>
            <w:tcMar>
              <w:top w:w="80" w:type="dxa"/>
              <w:left w:w="100" w:type="dxa"/>
              <w:bottom w:w="80" w:type="dxa"/>
              <w:right w:w="100" w:type="dxa"/>
            </w:tcMar>
            <w:vAlign w:val="center"/>
          </w:tcPr>
          <w:p w14:paraId="62E6460F" w14:textId="77777777" w:rsidR="00DF7048" w:rsidRDefault="00003431">
            <w:r>
              <w:rPr>
                <w:color w:val="000000"/>
                <w:sz w:val="19"/>
                <w:szCs w:val="19"/>
              </w:rPr>
              <w:t>Good if completed promptly; degrades with delay</w:t>
            </w:r>
          </w:p>
        </w:tc>
      </w:tr>
      <w:tr w:rsidR="00DF7048" w14:paraId="62E64614" w14:textId="77777777">
        <w:tblPrEx>
          <w:tblCellMar>
            <w:top w:w="0" w:type="dxa"/>
            <w:bottom w:w="0" w:type="dxa"/>
          </w:tblCellMar>
        </w:tblPrEx>
        <w:tc>
          <w:tcPr>
            <w:tcW w:w="2729" w:type="dxa"/>
            <w:tcMar>
              <w:top w:w="80" w:type="dxa"/>
              <w:left w:w="100" w:type="dxa"/>
              <w:bottom w:w="80" w:type="dxa"/>
              <w:right w:w="100" w:type="dxa"/>
            </w:tcMar>
            <w:vAlign w:val="center"/>
          </w:tcPr>
          <w:p w14:paraId="62E64611" w14:textId="77777777" w:rsidR="00DF7048" w:rsidRDefault="00003431">
            <w:r>
              <w:rPr>
                <w:color w:val="000000"/>
                <w:sz w:val="19"/>
                <w:szCs w:val="19"/>
              </w:rPr>
              <w:t>Agency reports (police, medical, fire)</w:t>
            </w:r>
          </w:p>
        </w:tc>
        <w:tc>
          <w:tcPr>
            <w:tcW w:w="3898" w:type="dxa"/>
            <w:tcMar>
              <w:top w:w="80" w:type="dxa"/>
              <w:left w:w="100" w:type="dxa"/>
              <w:bottom w:w="80" w:type="dxa"/>
              <w:right w:w="100" w:type="dxa"/>
            </w:tcMar>
            <w:vAlign w:val="center"/>
          </w:tcPr>
          <w:p w14:paraId="62E64612" w14:textId="77777777" w:rsidR="00DF7048" w:rsidRDefault="00003431">
            <w:r>
              <w:rPr>
                <w:color w:val="000000"/>
                <w:sz w:val="19"/>
                <w:szCs w:val="19"/>
              </w:rPr>
              <w:t>Independent external account of the same incident</w:t>
            </w:r>
          </w:p>
        </w:tc>
        <w:tc>
          <w:tcPr>
            <w:tcW w:w="3119" w:type="dxa"/>
            <w:tcMar>
              <w:top w:w="80" w:type="dxa"/>
              <w:left w:w="100" w:type="dxa"/>
              <w:bottom w:w="80" w:type="dxa"/>
              <w:right w:w="100" w:type="dxa"/>
            </w:tcMar>
            <w:vAlign w:val="center"/>
          </w:tcPr>
          <w:p w14:paraId="62E64613" w14:textId="77777777" w:rsidR="00DF7048" w:rsidRDefault="00003431">
            <w:r>
              <w:rPr>
                <w:color w:val="000000"/>
                <w:sz w:val="19"/>
                <w:szCs w:val="19"/>
              </w:rPr>
              <w:t>High — valuable cross-check against internal record</w:t>
            </w:r>
          </w:p>
        </w:tc>
      </w:tr>
    </w:tbl>
    <w:p w14:paraId="62E64615" w14:textId="77777777" w:rsidR="00DF7048" w:rsidRDefault="00003431">
      <w:pPr>
        <w:spacing w:after="160"/>
      </w:pPr>
      <w:r>
        <w:rPr>
          <w:i/>
          <w:iCs/>
          <w:color w:val="4A5568"/>
          <w:sz w:val="20"/>
          <w:szCs w:val="20"/>
        </w:rPr>
        <w:t>This source list is an illustrative starting point. It must be adapted to what was actually available and captured for your event, and to any legal or insurer requirements governing how evidence is gathered and retained.</w:t>
      </w:r>
    </w:p>
    <w:p w14:paraId="62E64616" w14:textId="77777777" w:rsidR="00DF7048" w:rsidRDefault="00003431">
      <w:pPr>
        <w:pStyle w:val="Heading1"/>
        <w:spacing w:before="360" w:after="160"/>
      </w:pPr>
      <w:r>
        <w:rPr>
          <w:color w:val="0A1628"/>
        </w:rPr>
        <w:t>Section 4 — Timeline Reconstruction</w:t>
      </w:r>
    </w:p>
    <w:p w14:paraId="62E64617" w14:textId="77777777" w:rsidR="00DF7048" w:rsidRDefault="00003431">
      <w:pPr>
        <w:spacing w:after="160"/>
      </w:pPr>
      <w:r>
        <w:t>A single agreed timeline is the foundation everything else in the review is built on. Without it, different participants will argue from different versions of events.</w:t>
      </w:r>
    </w:p>
    <w:p w14:paraId="62E64618" w14:textId="77777777" w:rsidR="00DF7048" w:rsidRDefault="00003431">
      <w:pPr>
        <w:pStyle w:val="Heading2"/>
        <w:spacing w:before="200" w:after="100"/>
      </w:pPr>
      <w:r>
        <w:rPr>
          <w:color w:val="4A5568"/>
        </w:rPr>
        <w:t>Include:</w:t>
      </w:r>
    </w:p>
    <w:p w14:paraId="62E64619" w14:textId="77777777" w:rsidR="00DF7048" w:rsidRDefault="00003431">
      <w:pPr>
        <w:pStyle w:val="ListParagraph"/>
        <w:numPr>
          <w:ilvl w:val="0"/>
          <w:numId w:val="2"/>
        </w:numPr>
        <w:spacing w:after="100"/>
      </w:pPr>
      <w:r>
        <w:t>A single chronological timeline built from the radio/incident log as the primary spine</w:t>
      </w:r>
    </w:p>
    <w:p w14:paraId="62E6461A" w14:textId="77777777" w:rsidR="00DF7048" w:rsidRDefault="00003431">
      <w:pPr>
        <w:pStyle w:val="ListParagraph"/>
        <w:numPr>
          <w:ilvl w:val="0"/>
          <w:numId w:val="2"/>
        </w:numPr>
        <w:spacing w:after="100"/>
      </w:pPr>
      <w:r>
        <w:t>Cross-referenced timings from CCTV, agency reports, and written statements added to the same timeline</w:t>
      </w:r>
    </w:p>
    <w:p w14:paraId="62E6461B" w14:textId="77777777" w:rsidR="00DF7048" w:rsidRDefault="00003431">
      <w:pPr>
        <w:pStyle w:val="ListParagraph"/>
        <w:numPr>
          <w:ilvl w:val="0"/>
          <w:numId w:val="2"/>
        </w:numPr>
        <w:spacing w:after="100"/>
      </w:pPr>
      <w:r>
        <w:t>Explicit flagging of any point where sources conflict on timing or sequence</w:t>
      </w:r>
    </w:p>
    <w:p w14:paraId="62E6461C" w14:textId="77777777" w:rsidR="00DF7048" w:rsidRDefault="00003431">
      <w:pPr>
        <w:pStyle w:val="ListParagraph"/>
        <w:numPr>
          <w:ilvl w:val="0"/>
          <w:numId w:val="2"/>
        </w:numPr>
        <w:spacing w:after="100"/>
      </w:pPr>
      <w:r>
        <w:t>The decision points identified on the timeline — not just what happened, but what was decided and by whom</w:t>
      </w:r>
    </w:p>
    <w:p w14:paraId="62E6461D" w14:textId="77777777" w:rsidR="00DF7048" w:rsidRDefault="00003431">
      <w:pPr>
        <w:pStyle w:val="Heading1"/>
        <w:spacing w:before="360" w:after="160"/>
      </w:pPr>
      <w:r>
        <w:rPr>
          <w:color w:val="0A1628"/>
        </w:rPr>
        <w:t>Section 5 — Performance Against Plan</w:t>
      </w:r>
    </w:p>
    <w:p w14:paraId="62E6461E" w14:textId="77777777" w:rsidR="00DF7048" w:rsidRDefault="00003431">
      <w:pPr>
        <w:spacing w:after="160"/>
      </w:pPr>
      <w:r>
        <w:t>Compare what was planned against what actually happened. The gap between the two is where most findings come from.</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19"/>
        <w:gridCol w:w="2339"/>
        <w:gridCol w:w="2339"/>
        <w:gridCol w:w="1949"/>
      </w:tblGrid>
      <w:tr w:rsidR="00DF7048" w14:paraId="62E64623" w14:textId="77777777">
        <w:tblPrEx>
          <w:tblCellMar>
            <w:top w:w="0" w:type="dxa"/>
            <w:bottom w:w="0" w:type="dxa"/>
          </w:tblCellMar>
        </w:tblPrEx>
        <w:trPr>
          <w:tblHeader/>
        </w:trPr>
        <w:tc>
          <w:tcPr>
            <w:tcW w:w="3119" w:type="dxa"/>
            <w:shd w:val="clear" w:color="auto" w:fill="0A1628"/>
            <w:tcMar>
              <w:top w:w="80" w:type="dxa"/>
              <w:left w:w="100" w:type="dxa"/>
              <w:bottom w:w="80" w:type="dxa"/>
              <w:right w:w="100" w:type="dxa"/>
            </w:tcMar>
            <w:vAlign w:val="center"/>
          </w:tcPr>
          <w:p w14:paraId="62E6461F" w14:textId="77777777" w:rsidR="00DF7048" w:rsidRDefault="00003431">
            <w:r>
              <w:rPr>
                <w:b/>
                <w:bCs/>
                <w:color w:val="FFFFFF"/>
                <w:sz w:val="19"/>
                <w:szCs w:val="19"/>
              </w:rPr>
              <w:t>Plan Element</w:t>
            </w:r>
          </w:p>
        </w:tc>
        <w:tc>
          <w:tcPr>
            <w:tcW w:w="2339" w:type="dxa"/>
            <w:shd w:val="clear" w:color="auto" w:fill="0A1628"/>
            <w:tcMar>
              <w:top w:w="80" w:type="dxa"/>
              <w:left w:w="100" w:type="dxa"/>
              <w:bottom w:w="80" w:type="dxa"/>
              <w:right w:w="100" w:type="dxa"/>
            </w:tcMar>
            <w:vAlign w:val="center"/>
          </w:tcPr>
          <w:p w14:paraId="62E64620" w14:textId="77777777" w:rsidR="00DF7048" w:rsidRDefault="00003431">
            <w:r>
              <w:rPr>
                <w:b/>
                <w:bCs/>
                <w:color w:val="FFFFFF"/>
                <w:sz w:val="19"/>
                <w:szCs w:val="19"/>
              </w:rPr>
              <w:t>What Was Planned</w:t>
            </w:r>
          </w:p>
        </w:tc>
        <w:tc>
          <w:tcPr>
            <w:tcW w:w="2339" w:type="dxa"/>
            <w:shd w:val="clear" w:color="auto" w:fill="0A1628"/>
            <w:tcMar>
              <w:top w:w="80" w:type="dxa"/>
              <w:left w:w="100" w:type="dxa"/>
              <w:bottom w:w="80" w:type="dxa"/>
              <w:right w:w="100" w:type="dxa"/>
            </w:tcMar>
            <w:vAlign w:val="center"/>
          </w:tcPr>
          <w:p w14:paraId="62E64621" w14:textId="77777777" w:rsidR="00DF7048" w:rsidRDefault="00003431">
            <w:r>
              <w:rPr>
                <w:b/>
                <w:bCs/>
                <w:color w:val="FFFFFF"/>
                <w:sz w:val="19"/>
                <w:szCs w:val="19"/>
              </w:rPr>
              <w:t>What Actually Happened</w:t>
            </w:r>
          </w:p>
        </w:tc>
        <w:tc>
          <w:tcPr>
            <w:tcW w:w="1949" w:type="dxa"/>
            <w:shd w:val="clear" w:color="auto" w:fill="0A1628"/>
            <w:tcMar>
              <w:top w:w="80" w:type="dxa"/>
              <w:left w:w="100" w:type="dxa"/>
              <w:bottom w:w="80" w:type="dxa"/>
              <w:right w:w="100" w:type="dxa"/>
            </w:tcMar>
            <w:vAlign w:val="center"/>
          </w:tcPr>
          <w:p w14:paraId="62E64622" w14:textId="77777777" w:rsidR="00DF7048" w:rsidRDefault="00003431">
            <w:r>
              <w:rPr>
                <w:b/>
                <w:bCs/>
                <w:color w:val="FFFFFF"/>
                <w:sz w:val="19"/>
                <w:szCs w:val="19"/>
              </w:rPr>
              <w:t>Gap Identified</w:t>
            </w:r>
          </w:p>
        </w:tc>
      </w:tr>
      <w:tr w:rsidR="00DF7048" w14:paraId="62E64628" w14:textId="77777777">
        <w:tblPrEx>
          <w:tblCellMar>
            <w:top w:w="0" w:type="dxa"/>
            <w:bottom w:w="0" w:type="dxa"/>
          </w:tblCellMar>
        </w:tblPrEx>
        <w:tc>
          <w:tcPr>
            <w:tcW w:w="3119" w:type="dxa"/>
            <w:tcMar>
              <w:top w:w="80" w:type="dxa"/>
              <w:left w:w="100" w:type="dxa"/>
              <w:bottom w:w="80" w:type="dxa"/>
              <w:right w:w="100" w:type="dxa"/>
            </w:tcMar>
            <w:vAlign w:val="center"/>
          </w:tcPr>
          <w:p w14:paraId="62E64624" w14:textId="77777777" w:rsidR="00DF7048" w:rsidRDefault="00003431">
            <w:r>
              <w:rPr>
                <w:color w:val="000000"/>
                <w:sz w:val="19"/>
                <w:szCs w:val="19"/>
              </w:rPr>
              <w:t>[Deployment / resourcing]</w:t>
            </w:r>
          </w:p>
        </w:tc>
        <w:tc>
          <w:tcPr>
            <w:tcW w:w="2339" w:type="dxa"/>
            <w:tcMar>
              <w:top w:w="80" w:type="dxa"/>
              <w:left w:w="100" w:type="dxa"/>
              <w:bottom w:w="80" w:type="dxa"/>
              <w:right w:w="100" w:type="dxa"/>
            </w:tcMar>
            <w:vAlign w:val="center"/>
          </w:tcPr>
          <w:p w14:paraId="62E64625" w14:textId="77777777" w:rsidR="00DF7048" w:rsidRDefault="00DF7048"/>
        </w:tc>
        <w:tc>
          <w:tcPr>
            <w:tcW w:w="2339" w:type="dxa"/>
            <w:tcMar>
              <w:top w:w="80" w:type="dxa"/>
              <w:left w:w="100" w:type="dxa"/>
              <w:bottom w:w="80" w:type="dxa"/>
              <w:right w:w="100" w:type="dxa"/>
            </w:tcMar>
            <w:vAlign w:val="center"/>
          </w:tcPr>
          <w:p w14:paraId="62E64626" w14:textId="77777777" w:rsidR="00DF7048" w:rsidRDefault="00DF7048"/>
        </w:tc>
        <w:tc>
          <w:tcPr>
            <w:tcW w:w="1949" w:type="dxa"/>
            <w:tcMar>
              <w:top w:w="80" w:type="dxa"/>
              <w:left w:w="100" w:type="dxa"/>
              <w:bottom w:w="80" w:type="dxa"/>
              <w:right w:w="100" w:type="dxa"/>
            </w:tcMar>
            <w:vAlign w:val="center"/>
          </w:tcPr>
          <w:p w14:paraId="62E64627" w14:textId="77777777" w:rsidR="00DF7048" w:rsidRDefault="00DF7048"/>
        </w:tc>
      </w:tr>
      <w:tr w:rsidR="00DF7048" w14:paraId="62E6462D" w14:textId="77777777">
        <w:tblPrEx>
          <w:tblCellMar>
            <w:top w:w="0" w:type="dxa"/>
            <w:bottom w:w="0" w:type="dxa"/>
          </w:tblCellMar>
        </w:tblPrEx>
        <w:tc>
          <w:tcPr>
            <w:tcW w:w="3119" w:type="dxa"/>
            <w:tcMar>
              <w:top w:w="80" w:type="dxa"/>
              <w:left w:w="100" w:type="dxa"/>
              <w:bottom w:w="80" w:type="dxa"/>
              <w:right w:w="100" w:type="dxa"/>
            </w:tcMar>
            <w:vAlign w:val="center"/>
          </w:tcPr>
          <w:p w14:paraId="62E64629" w14:textId="77777777" w:rsidR="00DF7048" w:rsidRDefault="00003431">
            <w:r>
              <w:rPr>
                <w:color w:val="000000"/>
                <w:sz w:val="19"/>
                <w:szCs w:val="19"/>
              </w:rPr>
              <w:t>[Communication / notification]</w:t>
            </w:r>
          </w:p>
        </w:tc>
        <w:tc>
          <w:tcPr>
            <w:tcW w:w="2339" w:type="dxa"/>
            <w:tcMar>
              <w:top w:w="80" w:type="dxa"/>
              <w:left w:w="100" w:type="dxa"/>
              <w:bottom w:w="80" w:type="dxa"/>
              <w:right w:w="100" w:type="dxa"/>
            </w:tcMar>
            <w:vAlign w:val="center"/>
          </w:tcPr>
          <w:p w14:paraId="62E6462A" w14:textId="77777777" w:rsidR="00DF7048" w:rsidRDefault="00DF7048"/>
        </w:tc>
        <w:tc>
          <w:tcPr>
            <w:tcW w:w="2339" w:type="dxa"/>
            <w:tcMar>
              <w:top w:w="80" w:type="dxa"/>
              <w:left w:w="100" w:type="dxa"/>
              <w:bottom w:w="80" w:type="dxa"/>
              <w:right w:w="100" w:type="dxa"/>
            </w:tcMar>
            <w:vAlign w:val="center"/>
          </w:tcPr>
          <w:p w14:paraId="62E6462B" w14:textId="77777777" w:rsidR="00DF7048" w:rsidRDefault="00DF7048"/>
        </w:tc>
        <w:tc>
          <w:tcPr>
            <w:tcW w:w="1949" w:type="dxa"/>
            <w:tcMar>
              <w:top w:w="80" w:type="dxa"/>
              <w:left w:w="100" w:type="dxa"/>
              <w:bottom w:w="80" w:type="dxa"/>
              <w:right w:w="100" w:type="dxa"/>
            </w:tcMar>
            <w:vAlign w:val="center"/>
          </w:tcPr>
          <w:p w14:paraId="62E6462C" w14:textId="77777777" w:rsidR="00DF7048" w:rsidRDefault="00DF7048"/>
        </w:tc>
      </w:tr>
      <w:tr w:rsidR="00DF7048" w14:paraId="62E64632" w14:textId="77777777">
        <w:tblPrEx>
          <w:tblCellMar>
            <w:top w:w="0" w:type="dxa"/>
            <w:bottom w:w="0" w:type="dxa"/>
          </w:tblCellMar>
        </w:tblPrEx>
        <w:tc>
          <w:tcPr>
            <w:tcW w:w="3119" w:type="dxa"/>
            <w:tcMar>
              <w:top w:w="80" w:type="dxa"/>
              <w:left w:w="100" w:type="dxa"/>
              <w:bottom w:w="80" w:type="dxa"/>
              <w:right w:w="100" w:type="dxa"/>
            </w:tcMar>
            <w:vAlign w:val="center"/>
          </w:tcPr>
          <w:p w14:paraId="62E6462E" w14:textId="77777777" w:rsidR="00DF7048" w:rsidRDefault="00003431">
            <w:r>
              <w:rPr>
                <w:color w:val="000000"/>
                <w:sz w:val="19"/>
                <w:szCs w:val="19"/>
              </w:rPr>
              <w:t>[Decision authority / escalation]</w:t>
            </w:r>
          </w:p>
        </w:tc>
        <w:tc>
          <w:tcPr>
            <w:tcW w:w="2339" w:type="dxa"/>
            <w:tcMar>
              <w:top w:w="80" w:type="dxa"/>
              <w:left w:w="100" w:type="dxa"/>
              <w:bottom w:w="80" w:type="dxa"/>
              <w:right w:w="100" w:type="dxa"/>
            </w:tcMar>
            <w:vAlign w:val="center"/>
          </w:tcPr>
          <w:p w14:paraId="62E6462F" w14:textId="77777777" w:rsidR="00DF7048" w:rsidRDefault="00DF7048"/>
        </w:tc>
        <w:tc>
          <w:tcPr>
            <w:tcW w:w="2339" w:type="dxa"/>
            <w:tcMar>
              <w:top w:w="80" w:type="dxa"/>
              <w:left w:w="100" w:type="dxa"/>
              <w:bottom w:w="80" w:type="dxa"/>
              <w:right w:w="100" w:type="dxa"/>
            </w:tcMar>
            <w:vAlign w:val="center"/>
          </w:tcPr>
          <w:p w14:paraId="62E64630" w14:textId="77777777" w:rsidR="00DF7048" w:rsidRDefault="00DF7048"/>
        </w:tc>
        <w:tc>
          <w:tcPr>
            <w:tcW w:w="1949" w:type="dxa"/>
            <w:tcMar>
              <w:top w:w="80" w:type="dxa"/>
              <w:left w:w="100" w:type="dxa"/>
              <w:bottom w:w="80" w:type="dxa"/>
              <w:right w:w="100" w:type="dxa"/>
            </w:tcMar>
            <w:vAlign w:val="center"/>
          </w:tcPr>
          <w:p w14:paraId="62E64631" w14:textId="77777777" w:rsidR="00DF7048" w:rsidRDefault="00DF7048"/>
        </w:tc>
      </w:tr>
      <w:tr w:rsidR="00DF7048" w14:paraId="62E64637" w14:textId="77777777">
        <w:tblPrEx>
          <w:tblCellMar>
            <w:top w:w="0" w:type="dxa"/>
            <w:bottom w:w="0" w:type="dxa"/>
          </w:tblCellMar>
        </w:tblPrEx>
        <w:tc>
          <w:tcPr>
            <w:tcW w:w="3119" w:type="dxa"/>
            <w:tcMar>
              <w:top w:w="80" w:type="dxa"/>
              <w:left w:w="100" w:type="dxa"/>
              <w:bottom w:w="80" w:type="dxa"/>
              <w:right w:w="100" w:type="dxa"/>
            </w:tcMar>
            <w:vAlign w:val="center"/>
          </w:tcPr>
          <w:p w14:paraId="62E64633" w14:textId="77777777" w:rsidR="00DF7048" w:rsidRDefault="00003431">
            <w:r>
              <w:rPr>
                <w:color w:val="000000"/>
                <w:sz w:val="19"/>
                <w:szCs w:val="19"/>
              </w:rPr>
              <w:t>[Physical / crowd management measures]</w:t>
            </w:r>
          </w:p>
        </w:tc>
        <w:tc>
          <w:tcPr>
            <w:tcW w:w="2339" w:type="dxa"/>
            <w:tcMar>
              <w:top w:w="80" w:type="dxa"/>
              <w:left w:w="100" w:type="dxa"/>
              <w:bottom w:w="80" w:type="dxa"/>
              <w:right w:w="100" w:type="dxa"/>
            </w:tcMar>
            <w:vAlign w:val="center"/>
          </w:tcPr>
          <w:p w14:paraId="62E64634" w14:textId="77777777" w:rsidR="00DF7048" w:rsidRDefault="00DF7048"/>
        </w:tc>
        <w:tc>
          <w:tcPr>
            <w:tcW w:w="2339" w:type="dxa"/>
            <w:tcMar>
              <w:top w:w="80" w:type="dxa"/>
              <w:left w:w="100" w:type="dxa"/>
              <w:bottom w:w="80" w:type="dxa"/>
              <w:right w:w="100" w:type="dxa"/>
            </w:tcMar>
            <w:vAlign w:val="center"/>
          </w:tcPr>
          <w:p w14:paraId="62E64635" w14:textId="77777777" w:rsidR="00DF7048" w:rsidRDefault="00DF7048"/>
        </w:tc>
        <w:tc>
          <w:tcPr>
            <w:tcW w:w="1949" w:type="dxa"/>
            <w:tcMar>
              <w:top w:w="80" w:type="dxa"/>
              <w:left w:w="100" w:type="dxa"/>
              <w:bottom w:w="80" w:type="dxa"/>
              <w:right w:w="100" w:type="dxa"/>
            </w:tcMar>
            <w:vAlign w:val="center"/>
          </w:tcPr>
          <w:p w14:paraId="62E64636" w14:textId="77777777" w:rsidR="00DF7048" w:rsidRDefault="00DF7048"/>
        </w:tc>
      </w:tr>
      <w:tr w:rsidR="00DF7048" w14:paraId="62E6463C" w14:textId="77777777">
        <w:tblPrEx>
          <w:tblCellMar>
            <w:top w:w="0" w:type="dxa"/>
            <w:bottom w:w="0" w:type="dxa"/>
          </w:tblCellMar>
        </w:tblPrEx>
        <w:tc>
          <w:tcPr>
            <w:tcW w:w="3119" w:type="dxa"/>
            <w:tcMar>
              <w:top w:w="80" w:type="dxa"/>
              <w:left w:w="100" w:type="dxa"/>
              <w:bottom w:w="80" w:type="dxa"/>
              <w:right w:w="100" w:type="dxa"/>
            </w:tcMar>
            <w:vAlign w:val="center"/>
          </w:tcPr>
          <w:p w14:paraId="62E64638" w14:textId="77777777" w:rsidR="00DF7048" w:rsidRDefault="00003431">
            <w:r>
              <w:rPr>
                <w:color w:val="000000"/>
                <w:sz w:val="19"/>
                <w:szCs w:val="19"/>
              </w:rPr>
              <w:t>[Multi-agency coordination]</w:t>
            </w:r>
          </w:p>
        </w:tc>
        <w:tc>
          <w:tcPr>
            <w:tcW w:w="2339" w:type="dxa"/>
            <w:tcMar>
              <w:top w:w="80" w:type="dxa"/>
              <w:left w:w="100" w:type="dxa"/>
              <w:bottom w:w="80" w:type="dxa"/>
              <w:right w:w="100" w:type="dxa"/>
            </w:tcMar>
            <w:vAlign w:val="center"/>
          </w:tcPr>
          <w:p w14:paraId="62E64639" w14:textId="77777777" w:rsidR="00DF7048" w:rsidRDefault="00DF7048"/>
        </w:tc>
        <w:tc>
          <w:tcPr>
            <w:tcW w:w="2339" w:type="dxa"/>
            <w:tcMar>
              <w:top w:w="80" w:type="dxa"/>
              <w:left w:w="100" w:type="dxa"/>
              <w:bottom w:w="80" w:type="dxa"/>
              <w:right w:w="100" w:type="dxa"/>
            </w:tcMar>
            <w:vAlign w:val="center"/>
          </w:tcPr>
          <w:p w14:paraId="62E6463A" w14:textId="77777777" w:rsidR="00DF7048" w:rsidRDefault="00DF7048"/>
        </w:tc>
        <w:tc>
          <w:tcPr>
            <w:tcW w:w="1949" w:type="dxa"/>
            <w:tcMar>
              <w:top w:w="80" w:type="dxa"/>
              <w:left w:w="100" w:type="dxa"/>
              <w:bottom w:w="80" w:type="dxa"/>
              <w:right w:w="100" w:type="dxa"/>
            </w:tcMar>
            <w:vAlign w:val="center"/>
          </w:tcPr>
          <w:p w14:paraId="62E6463B" w14:textId="77777777" w:rsidR="00DF7048" w:rsidRDefault="00DF7048"/>
        </w:tc>
      </w:tr>
    </w:tbl>
    <w:p w14:paraId="62E6463D" w14:textId="77777777" w:rsidR="00DF7048" w:rsidRDefault="00003431">
      <w:pPr>
        <w:pStyle w:val="Heading1"/>
        <w:spacing w:before="360" w:after="160"/>
      </w:pPr>
      <w:r>
        <w:rPr>
          <w:color w:val="0A1628"/>
        </w:rPr>
        <w:lastRenderedPageBreak/>
        <w:t>Section 6 — Root Cause &amp; Contributing Factor Analysis</w:t>
      </w:r>
    </w:p>
    <w:p w14:paraId="62E6463E" w14:textId="77777777" w:rsidR="00DF7048" w:rsidRDefault="00003431">
      <w:pPr>
        <w:spacing w:after="160"/>
      </w:pPr>
      <w:r>
        <w:t>A finding that stops at "what happened" produces recommendations that treat symptoms. Push each finding to the underlying cause before recommending action.</w:t>
      </w:r>
    </w:p>
    <w:p w14:paraId="62E6463F" w14:textId="77777777" w:rsidR="00DF7048" w:rsidRDefault="00003431">
      <w:pPr>
        <w:pStyle w:val="Heading2"/>
        <w:spacing w:before="200" w:after="100"/>
      </w:pPr>
      <w:r>
        <w:rPr>
          <w:color w:val="4A5568"/>
        </w:rPr>
        <w:t>Assess Each Finding Against:</w:t>
      </w:r>
    </w:p>
    <w:p w14:paraId="62E64640" w14:textId="77777777" w:rsidR="00DF7048" w:rsidRDefault="00003431">
      <w:pPr>
        <w:pStyle w:val="ListParagraph"/>
        <w:numPr>
          <w:ilvl w:val="0"/>
          <w:numId w:val="2"/>
        </w:numPr>
        <w:spacing w:after="100"/>
      </w:pPr>
      <w:r>
        <w:t>Immediate cause — the direct trigger of the gap between plan and outcome</w:t>
      </w:r>
    </w:p>
    <w:p w14:paraId="62E64641" w14:textId="77777777" w:rsidR="00DF7048" w:rsidRDefault="00003431">
      <w:pPr>
        <w:pStyle w:val="ListParagraph"/>
        <w:numPr>
          <w:ilvl w:val="0"/>
          <w:numId w:val="2"/>
        </w:numPr>
        <w:spacing w:after="100"/>
      </w:pPr>
      <w:r>
        <w:t>Contributing factors — resourcing, training, communication, or environmental conditions that allowed the immediate cause to occur</w:t>
      </w:r>
    </w:p>
    <w:p w14:paraId="62E64642" w14:textId="77777777" w:rsidR="00DF7048" w:rsidRDefault="00003431">
      <w:pPr>
        <w:pStyle w:val="ListParagraph"/>
        <w:numPr>
          <w:ilvl w:val="0"/>
          <w:numId w:val="2"/>
        </w:numPr>
        <w:spacing w:after="100"/>
      </w:pPr>
      <w:r>
        <w:t>Systemic factors — whether this gap reflects a one-off circumstance or a repeatable weakness in the plan, process, or governance</w:t>
      </w:r>
    </w:p>
    <w:p w14:paraId="62E64643" w14:textId="77777777" w:rsidR="00DF7048" w:rsidRDefault="00003431">
      <w:pPr>
        <w:pStyle w:val="ListParagraph"/>
        <w:numPr>
          <w:ilvl w:val="0"/>
          <w:numId w:val="2"/>
        </w:numPr>
        <w:spacing w:after="100"/>
      </w:pPr>
      <w:r>
        <w:t>Whether the same finding has appeared in a previous review, indicating a recommendation that was not effectively closed out</w:t>
      </w:r>
    </w:p>
    <w:p w14:paraId="62E64644" w14:textId="77777777" w:rsidR="00DF7048" w:rsidRDefault="00003431">
      <w:pPr>
        <w:pStyle w:val="Heading1"/>
        <w:spacing w:before="360" w:after="160"/>
      </w:pPr>
      <w:r>
        <w:rPr>
          <w:color w:val="0A1628"/>
        </w:rPr>
        <w:t>Section 7 — Findings &amp; Recommendations</w:t>
      </w:r>
    </w:p>
    <w:p w14:paraId="62E64645" w14:textId="77777777" w:rsidR="00DF7048" w:rsidRDefault="00003431">
      <w:pPr>
        <w:spacing w:after="160"/>
      </w:pPr>
      <w:r>
        <w:t>Every finding should convert into a specific, owned, and dated recommendation — not a general statement of intent.</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103"/>
        <w:gridCol w:w="4777"/>
        <w:gridCol w:w="2866"/>
      </w:tblGrid>
      <w:tr w:rsidR="00DF7048" w14:paraId="62E64649" w14:textId="77777777">
        <w:tblPrEx>
          <w:tblCellMar>
            <w:top w:w="0" w:type="dxa"/>
            <w:bottom w:w="0" w:type="dxa"/>
          </w:tblCellMar>
        </w:tblPrEx>
        <w:trPr>
          <w:tblHeader/>
        </w:trPr>
        <w:tc>
          <w:tcPr>
            <w:tcW w:w="2102" w:type="dxa"/>
            <w:shd w:val="clear" w:color="auto" w:fill="0A1628"/>
            <w:tcMar>
              <w:top w:w="80" w:type="dxa"/>
              <w:left w:w="100" w:type="dxa"/>
              <w:bottom w:w="80" w:type="dxa"/>
              <w:right w:w="100" w:type="dxa"/>
            </w:tcMar>
            <w:vAlign w:val="center"/>
          </w:tcPr>
          <w:p w14:paraId="62E64646" w14:textId="77777777" w:rsidR="00DF7048" w:rsidRDefault="00003431">
            <w:r>
              <w:rPr>
                <w:b/>
                <w:bCs/>
                <w:color w:val="FFFFFF"/>
                <w:sz w:val="19"/>
                <w:szCs w:val="19"/>
              </w:rPr>
              <w:t>Priority</w:t>
            </w:r>
          </w:p>
        </w:tc>
        <w:tc>
          <w:tcPr>
            <w:tcW w:w="4777" w:type="dxa"/>
            <w:shd w:val="clear" w:color="auto" w:fill="0A1628"/>
            <w:tcMar>
              <w:top w:w="80" w:type="dxa"/>
              <w:left w:w="100" w:type="dxa"/>
              <w:bottom w:w="80" w:type="dxa"/>
              <w:right w:w="100" w:type="dxa"/>
            </w:tcMar>
            <w:vAlign w:val="center"/>
          </w:tcPr>
          <w:p w14:paraId="62E64647" w14:textId="77777777" w:rsidR="00DF7048" w:rsidRDefault="00003431">
            <w:r>
              <w:rPr>
                <w:b/>
                <w:bCs/>
                <w:color w:val="FFFFFF"/>
                <w:sz w:val="19"/>
                <w:szCs w:val="19"/>
              </w:rPr>
              <w:t>Definition</w:t>
            </w:r>
          </w:p>
        </w:tc>
        <w:tc>
          <w:tcPr>
            <w:tcW w:w="2866" w:type="dxa"/>
            <w:shd w:val="clear" w:color="auto" w:fill="0A1628"/>
            <w:tcMar>
              <w:top w:w="80" w:type="dxa"/>
              <w:left w:w="100" w:type="dxa"/>
              <w:bottom w:w="80" w:type="dxa"/>
              <w:right w:w="100" w:type="dxa"/>
            </w:tcMar>
            <w:vAlign w:val="center"/>
          </w:tcPr>
          <w:p w14:paraId="62E64648" w14:textId="77777777" w:rsidR="00DF7048" w:rsidRDefault="00003431">
            <w:r>
              <w:rPr>
                <w:b/>
                <w:bCs/>
                <w:color w:val="FFFFFF"/>
                <w:sz w:val="19"/>
                <w:szCs w:val="19"/>
              </w:rPr>
              <w:t>Target Close-Out</w:t>
            </w:r>
          </w:p>
        </w:tc>
      </w:tr>
      <w:tr w:rsidR="00DF7048" w14:paraId="62E6464D" w14:textId="77777777">
        <w:tblPrEx>
          <w:tblCellMar>
            <w:top w:w="0" w:type="dxa"/>
            <w:bottom w:w="0" w:type="dxa"/>
          </w:tblCellMar>
        </w:tblPrEx>
        <w:tc>
          <w:tcPr>
            <w:tcW w:w="2102" w:type="dxa"/>
            <w:tcMar>
              <w:top w:w="80" w:type="dxa"/>
              <w:left w:w="100" w:type="dxa"/>
              <w:bottom w:w="80" w:type="dxa"/>
              <w:right w:w="100" w:type="dxa"/>
            </w:tcMar>
            <w:vAlign w:val="center"/>
          </w:tcPr>
          <w:p w14:paraId="62E6464A" w14:textId="77777777" w:rsidR="00DF7048" w:rsidRDefault="00003431">
            <w:r>
              <w:rPr>
                <w:color w:val="000000"/>
                <w:sz w:val="19"/>
                <w:szCs w:val="19"/>
              </w:rPr>
              <w:t>Critical</w:t>
            </w:r>
          </w:p>
        </w:tc>
        <w:tc>
          <w:tcPr>
            <w:tcW w:w="4777" w:type="dxa"/>
            <w:tcMar>
              <w:top w:w="80" w:type="dxa"/>
              <w:left w:w="100" w:type="dxa"/>
              <w:bottom w:w="80" w:type="dxa"/>
              <w:right w:w="100" w:type="dxa"/>
            </w:tcMar>
            <w:vAlign w:val="center"/>
          </w:tcPr>
          <w:p w14:paraId="62E6464B" w14:textId="77777777" w:rsidR="00DF7048" w:rsidRDefault="00003431">
            <w:r>
              <w:rPr>
                <w:color w:val="000000"/>
                <w:sz w:val="19"/>
                <w:szCs w:val="19"/>
              </w:rPr>
              <w:t>Directly contributed to harm, or could on recurrence</w:t>
            </w:r>
          </w:p>
        </w:tc>
        <w:tc>
          <w:tcPr>
            <w:tcW w:w="2866" w:type="dxa"/>
            <w:tcMar>
              <w:top w:w="80" w:type="dxa"/>
              <w:left w:w="100" w:type="dxa"/>
              <w:bottom w:w="80" w:type="dxa"/>
              <w:right w:w="100" w:type="dxa"/>
            </w:tcMar>
            <w:vAlign w:val="center"/>
          </w:tcPr>
          <w:p w14:paraId="62E6464C" w14:textId="77777777" w:rsidR="00DF7048" w:rsidRDefault="00003431">
            <w:r>
              <w:rPr>
                <w:color w:val="000000"/>
                <w:sz w:val="19"/>
                <w:szCs w:val="19"/>
              </w:rPr>
              <w:t>Before next event/deployment</w:t>
            </w:r>
          </w:p>
        </w:tc>
      </w:tr>
      <w:tr w:rsidR="00DF7048" w14:paraId="62E64651" w14:textId="77777777">
        <w:tblPrEx>
          <w:tblCellMar>
            <w:top w:w="0" w:type="dxa"/>
            <w:bottom w:w="0" w:type="dxa"/>
          </w:tblCellMar>
        </w:tblPrEx>
        <w:tc>
          <w:tcPr>
            <w:tcW w:w="2102" w:type="dxa"/>
            <w:tcMar>
              <w:top w:w="80" w:type="dxa"/>
              <w:left w:w="100" w:type="dxa"/>
              <w:bottom w:w="80" w:type="dxa"/>
              <w:right w:w="100" w:type="dxa"/>
            </w:tcMar>
            <w:vAlign w:val="center"/>
          </w:tcPr>
          <w:p w14:paraId="62E6464E" w14:textId="77777777" w:rsidR="00DF7048" w:rsidRDefault="00003431">
            <w:r>
              <w:rPr>
                <w:color w:val="000000"/>
                <w:sz w:val="19"/>
                <w:szCs w:val="19"/>
              </w:rPr>
              <w:t>High</w:t>
            </w:r>
          </w:p>
        </w:tc>
        <w:tc>
          <w:tcPr>
            <w:tcW w:w="4777" w:type="dxa"/>
            <w:tcMar>
              <w:top w:w="80" w:type="dxa"/>
              <w:left w:w="100" w:type="dxa"/>
              <w:bottom w:w="80" w:type="dxa"/>
              <w:right w:w="100" w:type="dxa"/>
            </w:tcMar>
            <w:vAlign w:val="center"/>
          </w:tcPr>
          <w:p w14:paraId="62E6464F" w14:textId="77777777" w:rsidR="00DF7048" w:rsidRDefault="00003431">
            <w:r>
              <w:rPr>
                <w:color w:val="000000"/>
                <w:sz w:val="19"/>
                <w:szCs w:val="19"/>
              </w:rPr>
              <w:t>Significant gap against plan with credible risk of recurrence</w:t>
            </w:r>
          </w:p>
        </w:tc>
        <w:tc>
          <w:tcPr>
            <w:tcW w:w="2866" w:type="dxa"/>
            <w:tcMar>
              <w:top w:w="80" w:type="dxa"/>
              <w:left w:w="100" w:type="dxa"/>
              <w:bottom w:w="80" w:type="dxa"/>
              <w:right w:w="100" w:type="dxa"/>
            </w:tcMar>
            <w:vAlign w:val="center"/>
          </w:tcPr>
          <w:p w14:paraId="62E64650" w14:textId="77777777" w:rsidR="00DF7048" w:rsidRDefault="00003431">
            <w:r>
              <w:rPr>
                <w:color w:val="000000"/>
                <w:sz w:val="19"/>
                <w:szCs w:val="19"/>
              </w:rPr>
              <w:t>Within 30 days</w:t>
            </w:r>
          </w:p>
        </w:tc>
      </w:tr>
      <w:tr w:rsidR="00DF7048" w14:paraId="62E64655" w14:textId="77777777">
        <w:tblPrEx>
          <w:tblCellMar>
            <w:top w:w="0" w:type="dxa"/>
            <w:bottom w:w="0" w:type="dxa"/>
          </w:tblCellMar>
        </w:tblPrEx>
        <w:tc>
          <w:tcPr>
            <w:tcW w:w="2102" w:type="dxa"/>
            <w:tcMar>
              <w:top w:w="80" w:type="dxa"/>
              <w:left w:w="100" w:type="dxa"/>
              <w:bottom w:w="80" w:type="dxa"/>
              <w:right w:w="100" w:type="dxa"/>
            </w:tcMar>
            <w:vAlign w:val="center"/>
          </w:tcPr>
          <w:p w14:paraId="62E64652" w14:textId="77777777" w:rsidR="00DF7048" w:rsidRDefault="00003431">
            <w:r>
              <w:rPr>
                <w:color w:val="000000"/>
                <w:sz w:val="19"/>
                <w:szCs w:val="19"/>
              </w:rPr>
              <w:t>Medium</w:t>
            </w:r>
          </w:p>
        </w:tc>
        <w:tc>
          <w:tcPr>
            <w:tcW w:w="4777" w:type="dxa"/>
            <w:tcMar>
              <w:top w:w="80" w:type="dxa"/>
              <w:left w:w="100" w:type="dxa"/>
              <w:bottom w:w="80" w:type="dxa"/>
              <w:right w:w="100" w:type="dxa"/>
            </w:tcMar>
            <w:vAlign w:val="center"/>
          </w:tcPr>
          <w:p w14:paraId="62E64653" w14:textId="77777777" w:rsidR="00DF7048" w:rsidRDefault="00003431">
            <w:r>
              <w:rPr>
                <w:color w:val="000000"/>
                <w:sz w:val="19"/>
                <w:szCs w:val="19"/>
              </w:rPr>
              <w:t>Gap identified with limited standalone risk</w:t>
            </w:r>
          </w:p>
        </w:tc>
        <w:tc>
          <w:tcPr>
            <w:tcW w:w="2866" w:type="dxa"/>
            <w:tcMar>
              <w:top w:w="80" w:type="dxa"/>
              <w:left w:w="100" w:type="dxa"/>
              <w:bottom w:w="80" w:type="dxa"/>
              <w:right w:w="100" w:type="dxa"/>
            </w:tcMar>
            <w:vAlign w:val="center"/>
          </w:tcPr>
          <w:p w14:paraId="62E64654" w14:textId="77777777" w:rsidR="00DF7048" w:rsidRDefault="00003431">
            <w:r>
              <w:rPr>
                <w:color w:val="000000"/>
                <w:sz w:val="19"/>
                <w:szCs w:val="19"/>
              </w:rPr>
              <w:t>Within 90 days</w:t>
            </w:r>
          </w:p>
        </w:tc>
      </w:tr>
      <w:tr w:rsidR="00DF7048" w14:paraId="62E64659" w14:textId="77777777">
        <w:tblPrEx>
          <w:tblCellMar>
            <w:top w:w="0" w:type="dxa"/>
            <w:bottom w:w="0" w:type="dxa"/>
          </w:tblCellMar>
        </w:tblPrEx>
        <w:tc>
          <w:tcPr>
            <w:tcW w:w="2102" w:type="dxa"/>
            <w:tcMar>
              <w:top w:w="80" w:type="dxa"/>
              <w:left w:w="100" w:type="dxa"/>
              <w:bottom w:w="80" w:type="dxa"/>
              <w:right w:w="100" w:type="dxa"/>
            </w:tcMar>
            <w:vAlign w:val="center"/>
          </w:tcPr>
          <w:p w14:paraId="62E64656" w14:textId="77777777" w:rsidR="00DF7048" w:rsidRDefault="00003431">
            <w:r>
              <w:rPr>
                <w:color w:val="000000"/>
                <w:sz w:val="19"/>
                <w:szCs w:val="19"/>
              </w:rPr>
              <w:t>Low</w:t>
            </w:r>
          </w:p>
        </w:tc>
        <w:tc>
          <w:tcPr>
            <w:tcW w:w="4777" w:type="dxa"/>
            <w:tcMar>
              <w:top w:w="80" w:type="dxa"/>
              <w:left w:w="100" w:type="dxa"/>
              <w:bottom w:w="80" w:type="dxa"/>
              <w:right w:w="100" w:type="dxa"/>
            </w:tcMar>
            <w:vAlign w:val="center"/>
          </w:tcPr>
          <w:p w14:paraId="62E64657" w14:textId="77777777" w:rsidR="00DF7048" w:rsidRDefault="00003431">
            <w:r>
              <w:rPr>
                <w:color w:val="000000"/>
                <w:sz w:val="19"/>
                <w:szCs w:val="19"/>
              </w:rPr>
              <w:t>Improvement opportunity, no immediate risk</w:t>
            </w:r>
          </w:p>
        </w:tc>
        <w:tc>
          <w:tcPr>
            <w:tcW w:w="2866" w:type="dxa"/>
            <w:tcMar>
              <w:top w:w="80" w:type="dxa"/>
              <w:left w:w="100" w:type="dxa"/>
              <w:bottom w:w="80" w:type="dxa"/>
              <w:right w:w="100" w:type="dxa"/>
            </w:tcMar>
            <w:vAlign w:val="center"/>
          </w:tcPr>
          <w:p w14:paraId="62E64658" w14:textId="77777777" w:rsidR="00DF7048" w:rsidRDefault="00003431">
            <w:r>
              <w:rPr>
                <w:color w:val="000000"/>
                <w:sz w:val="19"/>
                <w:szCs w:val="19"/>
              </w:rPr>
              <w:t>Next planning cycle</w:t>
            </w:r>
          </w:p>
        </w:tc>
      </w:tr>
    </w:tbl>
    <w:p w14:paraId="62E6465A" w14:textId="77777777" w:rsidR="00DF7048" w:rsidRDefault="00003431">
      <w:pPr>
        <w:pStyle w:val="Heading2"/>
        <w:spacing w:before="200" w:after="100"/>
      </w:pPr>
      <w:r>
        <w:rPr>
          <w:color w:val="4A5568"/>
        </w:rPr>
        <w:t>Every Recommendation Should Include:</w:t>
      </w:r>
    </w:p>
    <w:p w14:paraId="62E6465B" w14:textId="77777777" w:rsidR="00DF7048" w:rsidRDefault="00003431">
      <w:pPr>
        <w:pStyle w:val="ListParagraph"/>
        <w:numPr>
          <w:ilvl w:val="0"/>
          <w:numId w:val="2"/>
        </w:numPr>
        <w:spacing w:after="100"/>
      </w:pPr>
      <w:r>
        <w:t>A specific action, not a general statement of intent</w:t>
      </w:r>
    </w:p>
    <w:p w14:paraId="62E6465C" w14:textId="77777777" w:rsidR="00DF7048" w:rsidRDefault="00003431">
      <w:pPr>
        <w:pStyle w:val="ListParagraph"/>
        <w:numPr>
          <w:ilvl w:val="0"/>
          <w:numId w:val="2"/>
        </w:numPr>
        <w:spacing w:after="100"/>
      </w:pPr>
      <w:r>
        <w:t>A named owner accountable for delivery, not a department or team</w:t>
      </w:r>
    </w:p>
    <w:p w14:paraId="62E6465D" w14:textId="77777777" w:rsidR="00DF7048" w:rsidRDefault="00003431">
      <w:pPr>
        <w:pStyle w:val="ListParagraph"/>
        <w:numPr>
          <w:ilvl w:val="0"/>
          <w:numId w:val="2"/>
        </w:numPr>
        <w:spacing w:after="100"/>
      </w:pPr>
      <w:r>
        <w:t>A target close-out date matched to the priority level</w:t>
      </w:r>
    </w:p>
    <w:p w14:paraId="62E6465E" w14:textId="77777777" w:rsidR="00DF7048" w:rsidRDefault="00003431">
      <w:pPr>
        <w:pStyle w:val="ListParagraph"/>
        <w:numPr>
          <w:ilvl w:val="0"/>
          <w:numId w:val="2"/>
        </w:numPr>
        <w:spacing w:after="100"/>
      </w:pPr>
      <w:r>
        <w:t>The evidence source that generated the finding, so it can be traced back if questioned later</w:t>
      </w:r>
    </w:p>
    <w:p w14:paraId="62E6465F" w14:textId="77777777" w:rsidR="00DF7048" w:rsidRDefault="00003431">
      <w:pPr>
        <w:pStyle w:val="Heading1"/>
        <w:spacing w:before="360" w:after="160"/>
      </w:pPr>
      <w:r>
        <w:rPr>
          <w:color w:val="0A1628"/>
        </w:rPr>
        <w:t>Section 8 — Action Tracking &amp; Close-Out</w:t>
      </w:r>
    </w:p>
    <w:p w14:paraId="62E64660" w14:textId="77777777" w:rsidR="00DF7048" w:rsidRDefault="00003431">
      <w:pPr>
        <w:pStyle w:val="Heading2"/>
        <w:spacing w:before="200" w:after="100"/>
      </w:pPr>
      <w:r>
        <w:rPr>
          <w:color w:val="4A5568"/>
        </w:rPr>
        <w:t>Include:</w:t>
      </w:r>
    </w:p>
    <w:p w14:paraId="62E64661" w14:textId="77777777" w:rsidR="00DF7048" w:rsidRDefault="00003431">
      <w:pPr>
        <w:pStyle w:val="ListParagraph"/>
        <w:numPr>
          <w:ilvl w:val="0"/>
          <w:numId w:val="2"/>
        </w:numPr>
        <w:spacing w:after="100"/>
      </w:pPr>
      <w:r>
        <w:t>A single action tracker carried forward between reviews, not a fresh list each time</w:t>
      </w:r>
    </w:p>
    <w:p w14:paraId="62E64662" w14:textId="77777777" w:rsidR="00DF7048" w:rsidRDefault="00003431">
      <w:pPr>
        <w:pStyle w:val="ListParagraph"/>
        <w:numPr>
          <w:ilvl w:val="0"/>
          <w:numId w:val="2"/>
        </w:numPr>
        <w:spacing w:after="100"/>
      </w:pPr>
      <w:r>
        <w:t>Formal close-out evidence required before an action is marked complete, not a self-declared status update</w:t>
      </w:r>
    </w:p>
    <w:p w14:paraId="62E64663" w14:textId="77777777" w:rsidR="00DF7048" w:rsidRDefault="00003431">
      <w:pPr>
        <w:pStyle w:val="ListParagraph"/>
        <w:numPr>
          <w:ilvl w:val="0"/>
          <w:numId w:val="2"/>
        </w:numPr>
        <w:spacing w:after="100"/>
      </w:pPr>
      <w:r>
        <w:t>Escalation route for any action that passes its target close-out date without being resolved</w:t>
      </w:r>
    </w:p>
    <w:p w14:paraId="62E64664" w14:textId="77777777" w:rsidR="00DF7048" w:rsidRDefault="00003431">
      <w:pPr>
        <w:pStyle w:val="ListParagraph"/>
        <w:numPr>
          <w:ilvl w:val="0"/>
          <w:numId w:val="2"/>
        </w:numPr>
        <w:spacing w:after="100"/>
      </w:pPr>
      <w:r>
        <w:t>A standing item at the next relevant planning meeting to confirm outstanding actions before the next deployment</w:t>
      </w:r>
    </w:p>
    <w:p w14:paraId="7D041F4F" w14:textId="77777777" w:rsidR="00D57FF3" w:rsidRDefault="00D57FF3">
      <w:pPr>
        <w:rPr>
          <w:b/>
          <w:bCs/>
          <w:color w:val="0A1628"/>
          <w:sz w:val="32"/>
          <w:szCs w:val="32"/>
        </w:rPr>
      </w:pPr>
      <w:r>
        <w:rPr>
          <w:color w:val="0A1628"/>
        </w:rPr>
        <w:br w:type="page"/>
      </w:r>
    </w:p>
    <w:p w14:paraId="62E64665" w14:textId="47F0D40F" w:rsidR="00DF7048" w:rsidRDefault="00003431">
      <w:pPr>
        <w:pStyle w:val="Heading1"/>
        <w:spacing w:before="360" w:after="160"/>
      </w:pPr>
      <w:r>
        <w:rPr>
          <w:color w:val="0A1628"/>
        </w:rPr>
        <w:lastRenderedPageBreak/>
        <w:t>Section 9 — Documentation &amp; Regulatory Submission</w:t>
      </w:r>
    </w:p>
    <w:p w14:paraId="62E64666" w14:textId="77777777" w:rsidR="00DF7048" w:rsidRDefault="00003431">
      <w:pPr>
        <w:shd w:val="clear" w:color="auto" w:fill="F7F8FA"/>
        <w:spacing w:after="160"/>
      </w:pPr>
      <w:r>
        <w:rPr>
          <w:b/>
          <w:bCs/>
          <w:i/>
          <w:iCs/>
          <w:color w:val="4A5568"/>
          <w:sz w:val="20"/>
          <w:szCs w:val="20"/>
        </w:rPr>
        <w:t>⚑</w:t>
      </w:r>
      <w:r>
        <w:rPr>
          <w:b/>
          <w:bCs/>
          <w:i/>
          <w:iCs/>
          <w:color w:val="4A5568"/>
          <w:sz w:val="20"/>
          <w:szCs w:val="20"/>
        </w:rPr>
        <w:t xml:space="preserve"> Legal/Regulatory Review Required — reports prepared for or shared with a regulator, insurer, or in anticipation of litigation may be subject to legal privilege considerations; seek legal advice on how this review should be commissioned and documented before it begins.</w:t>
      </w:r>
    </w:p>
    <w:p w14:paraId="62E64667" w14:textId="77777777" w:rsidR="00DF7048" w:rsidRDefault="00003431">
      <w:pPr>
        <w:pStyle w:val="Heading2"/>
        <w:spacing w:before="200" w:after="100"/>
      </w:pPr>
      <w:r>
        <w:rPr>
          <w:color w:val="4A5568"/>
        </w:rPr>
        <w:t>Include:</w:t>
      </w:r>
    </w:p>
    <w:p w14:paraId="62E64668" w14:textId="77777777" w:rsidR="00DF7048" w:rsidRDefault="00003431">
      <w:pPr>
        <w:pStyle w:val="ListParagraph"/>
        <w:numPr>
          <w:ilvl w:val="0"/>
          <w:numId w:val="2"/>
        </w:numPr>
        <w:spacing w:after="100"/>
      </w:pPr>
      <w:r>
        <w:t>Full written report showing the timeline, findings, root cause analysis, and recommendations in one document</w:t>
      </w:r>
    </w:p>
    <w:p w14:paraId="62E64669" w14:textId="77777777" w:rsidR="00DF7048" w:rsidRDefault="00003431">
      <w:pPr>
        <w:pStyle w:val="ListParagraph"/>
        <w:numPr>
          <w:ilvl w:val="0"/>
          <w:numId w:val="2"/>
        </w:numPr>
        <w:spacing w:after="100"/>
      </w:pPr>
      <w:r>
        <w:t>Record of every source consulted and how conflicting evidence was resolved</w:t>
      </w:r>
    </w:p>
    <w:p w14:paraId="62E6466A" w14:textId="77777777" w:rsidR="00DF7048" w:rsidRDefault="00003431">
      <w:pPr>
        <w:pStyle w:val="ListParagraph"/>
        <w:numPr>
          <w:ilvl w:val="0"/>
          <w:numId w:val="2"/>
        </w:numPr>
        <w:spacing w:after="100"/>
      </w:pPr>
      <w:r>
        <w:t>Distribution list confirming who received the final report and at what confidentiality level</w:t>
      </w:r>
    </w:p>
    <w:p w14:paraId="62E6466B" w14:textId="77777777" w:rsidR="00DF7048" w:rsidRDefault="00003431">
      <w:pPr>
        <w:pStyle w:val="ListParagraph"/>
        <w:numPr>
          <w:ilvl w:val="0"/>
          <w:numId w:val="2"/>
        </w:numPr>
        <w:spacing w:after="100"/>
      </w:pPr>
      <w:r>
        <w:t>Version control and a scheduled date to review outstanding actions against this report</w:t>
      </w:r>
    </w:p>
    <w:p w14:paraId="62E6466C" w14:textId="77777777" w:rsidR="00DF7048" w:rsidRDefault="00DF7048">
      <w:pPr>
        <w:pBdr>
          <w:top w:val="single" w:sz="4" w:space="8" w:color="D9DCE1"/>
        </w:pBdr>
        <w:spacing w:before="400"/>
      </w:pPr>
    </w:p>
    <w:p w14:paraId="62E6466D" w14:textId="77777777" w:rsidR="00DF7048" w:rsidRDefault="00003431">
      <w:pPr>
        <w:spacing w:before="300"/>
        <w:jc w:val="center"/>
      </w:pPr>
      <w:r>
        <w:rPr>
          <w:i/>
          <w:iCs/>
          <w:color w:val="4A5568"/>
          <w:sz w:val="18"/>
          <w:szCs w:val="18"/>
        </w:rPr>
        <w:t>© Ewings Consultancy Services — This framework is provided for guidance purposes and does not constitute legal or regulatory advice.</w:t>
      </w:r>
    </w:p>
    <w:sectPr w:rsidR="00DF7048">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3033D"/>
    <w:multiLevelType w:val="hybridMultilevel"/>
    <w:tmpl w:val="3F7CE202"/>
    <w:lvl w:ilvl="0" w:tplc="F658291E">
      <w:start w:val="1"/>
      <w:numFmt w:val="bullet"/>
      <w:lvlText w:val="●"/>
      <w:lvlJc w:val="left"/>
      <w:pPr>
        <w:ind w:left="720" w:hanging="360"/>
      </w:pPr>
    </w:lvl>
    <w:lvl w:ilvl="1" w:tplc="DDF0EE10">
      <w:start w:val="1"/>
      <w:numFmt w:val="bullet"/>
      <w:lvlText w:val="○"/>
      <w:lvlJc w:val="left"/>
      <w:pPr>
        <w:ind w:left="1440" w:hanging="360"/>
      </w:pPr>
    </w:lvl>
    <w:lvl w:ilvl="2" w:tplc="9180689A">
      <w:start w:val="1"/>
      <w:numFmt w:val="bullet"/>
      <w:lvlText w:val="■"/>
      <w:lvlJc w:val="left"/>
      <w:pPr>
        <w:ind w:left="2160" w:hanging="360"/>
      </w:pPr>
    </w:lvl>
    <w:lvl w:ilvl="3" w:tplc="591E700C">
      <w:start w:val="1"/>
      <w:numFmt w:val="bullet"/>
      <w:lvlText w:val="●"/>
      <w:lvlJc w:val="left"/>
      <w:pPr>
        <w:ind w:left="2880" w:hanging="360"/>
      </w:pPr>
    </w:lvl>
    <w:lvl w:ilvl="4" w:tplc="DDA2347C">
      <w:start w:val="1"/>
      <w:numFmt w:val="bullet"/>
      <w:lvlText w:val="○"/>
      <w:lvlJc w:val="left"/>
      <w:pPr>
        <w:ind w:left="3600" w:hanging="360"/>
      </w:pPr>
    </w:lvl>
    <w:lvl w:ilvl="5" w:tplc="E11A53E0">
      <w:start w:val="1"/>
      <w:numFmt w:val="bullet"/>
      <w:lvlText w:val="■"/>
      <w:lvlJc w:val="left"/>
      <w:pPr>
        <w:ind w:left="4320" w:hanging="360"/>
      </w:pPr>
    </w:lvl>
    <w:lvl w:ilvl="6" w:tplc="2DBA821E">
      <w:start w:val="1"/>
      <w:numFmt w:val="bullet"/>
      <w:lvlText w:val="●"/>
      <w:lvlJc w:val="left"/>
      <w:pPr>
        <w:ind w:left="5040" w:hanging="360"/>
      </w:pPr>
    </w:lvl>
    <w:lvl w:ilvl="7" w:tplc="3D0A29EA">
      <w:start w:val="1"/>
      <w:numFmt w:val="bullet"/>
      <w:lvlText w:val="●"/>
      <w:lvlJc w:val="left"/>
      <w:pPr>
        <w:ind w:left="5760" w:hanging="360"/>
      </w:pPr>
    </w:lvl>
    <w:lvl w:ilvl="8" w:tplc="3BCA2E28">
      <w:start w:val="1"/>
      <w:numFmt w:val="bullet"/>
      <w:lvlText w:val="●"/>
      <w:lvlJc w:val="left"/>
      <w:pPr>
        <w:ind w:left="6480" w:hanging="360"/>
      </w:pPr>
    </w:lvl>
  </w:abstractNum>
  <w:abstractNum w:abstractNumId="1" w15:restartNumberingAfterBreak="0">
    <w:nsid w:val="709257A4"/>
    <w:multiLevelType w:val="hybridMultilevel"/>
    <w:tmpl w:val="F822CDD0"/>
    <w:lvl w:ilvl="0" w:tplc="397E27F2">
      <w:start w:val="1"/>
      <w:numFmt w:val="bullet"/>
      <w:lvlText w:val="●"/>
      <w:lvlJc w:val="left"/>
      <w:pPr>
        <w:ind w:left="720" w:hanging="360"/>
      </w:pPr>
    </w:lvl>
    <w:lvl w:ilvl="1" w:tplc="EC96C8AE">
      <w:numFmt w:val="decimal"/>
      <w:lvlText w:val=""/>
      <w:lvlJc w:val="left"/>
    </w:lvl>
    <w:lvl w:ilvl="2" w:tplc="3A0E8AF8">
      <w:numFmt w:val="decimal"/>
      <w:lvlText w:val=""/>
      <w:lvlJc w:val="left"/>
    </w:lvl>
    <w:lvl w:ilvl="3" w:tplc="C994B646">
      <w:numFmt w:val="decimal"/>
      <w:lvlText w:val=""/>
      <w:lvlJc w:val="left"/>
    </w:lvl>
    <w:lvl w:ilvl="4" w:tplc="2DC427F2">
      <w:numFmt w:val="decimal"/>
      <w:lvlText w:val=""/>
      <w:lvlJc w:val="left"/>
    </w:lvl>
    <w:lvl w:ilvl="5" w:tplc="DBE691CA">
      <w:numFmt w:val="decimal"/>
      <w:lvlText w:val=""/>
      <w:lvlJc w:val="left"/>
    </w:lvl>
    <w:lvl w:ilvl="6" w:tplc="68340CC4">
      <w:numFmt w:val="decimal"/>
      <w:lvlText w:val=""/>
      <w:lvlJc w:val="left"/>
    </w:lvl>
    <w:lvl w:ilvl="7" w:tplc="34145116">
      <w:numFmt w:val="decimal"/>
      <w:lvlText w:val=""/>
      <w:lvlJc w:val="left"/>
    </w:lvl>
    <w:lvl w:ilvl="8" w:tplc="3DEA9008">
      <w:numFmt w:val="decimal"/>
      <w:lvlText w:val=""/>
      <w:lvlJc w:val="left"/>
    </w:lvl>
  </w:abstractNum>
  <w:num w:numId="1" w16cid:durableId="1214077973">
    <w:abstractNumId w:val="0"/>
    <w:lvlOverride w:ilvl="0">
      <w:startOverride w:val="1"/>
    </w:lvlOverride>
  </w:num>
  <w:num w:numId="2" w16cid:durableId="118747815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48"/>
    <w:rsid w:val="00003431"/>
    <w:rsid w:val="00D57FF3"/>
    <w:rsid w:val="00D80880"/>
    <w:rsid w:val="00DF70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645E0"/>
  <w15:docId w15:val="{9091E576-0CF9-43E2-8684-FE7C8FDAF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2E74B5"/>
      <w:sz w:val="32"/>
      <w:szCs w:val="32"/>
    </w:rPr>
  </w:style>
  <w:style w:type="paragraph" w:styleId="Heading2">
    <w:name w:val="heading 2"/>
    <w:uiPriority w:val="9"/>
    <w:unhideWhenUsed/>
    <w:qFormat/>
    <w:pPr>
      <w:outlineLvl w:val="1"/>
    </w:pPr>
    <w:rPr>
      <w:b/>
      <w:bCs/>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1137</Words>
  <Characters>6494</Characters>
  <Application>Microsoft Office Word</Application>
  <DocSecurity>0</DocSecurity>
  <Lines>170</Lines>
  <Paragraphs>107</Paragraphs>
  <ScaleCrop>false</ScaleCrop>
  <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Ewings</cp:lastModifiedBy>
  <cp:revision>2</cp:revision>
  <dcterms:created xsi:type="dcterms:W3CDTF">2026-07-12T03:46:00Z</dcterms:created>
  <dcterms:modified xsi:type="dcterms:W3CDTF">2026-08-05T09:48:00Z</dcterms:modified>
</cp:coreProperties>
</file>